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Einarbeitung im Reitverein</w:t>
      </w:r>
    </w:p>
    <w:p>
      <w:pPr>
        <w:pStyle w:val="Subtitle"/>
      </w:pPr>
      <w:r>
        <w:t>Arbeitsmappe für die ersten 30 Tage</w:t>
      </w:r>
    </w:p>
    <w:p>
      <w:r>
        <w:t>Klären Sie zuerst, welche Rolle der Verein tatsächlich hat: Betreibt er eine Anlage, hält er Schulpferde oder nutzt er fremde Angebote? Davon hängt ab, welche Unterlagen und Verantwortlichkeiten übergeben werden. Laufende Versorgung, Mängelmeldungen und Hallennutzung brauchen verlässliche Ansprechpartner, auch während des Vorstandswechsels.</w:t>
      </w:r>
    </w:p>
    <w:p>
      <w:r>
        <w:t>Für neue Vorstandsmitglieder, Anlagenverantwortliche und Mitglieder mit organisatorischen Aufgaben. Abschnitte zu Schulpferden oder eigenem Betrieb werden nur genutzt, wenn sie auf den Verein zutreffen. Die Mappe ist keine tierärztliche Anleitung und keine technische Freigabe. Vereinsamt, Unterrichtsaufgabe und Betreiberpflichten werden anhand der tatsächlichen Vereinbarungen getrennt geprüft.</w:t>
      </w:r>
    </w:p>
    <w:p>
      <w:pPr>
        <w:spacing w:after="100"/>
        <w:keepNext/>
      </w:pPr>
      <w:r>
        <w:rPr>
          <w:b/>
          <w:color w:val="000000"/>
        </w:rPr>
        <w:t>So verwenden Sie die Vorlage</w:t>
      </w:r>
    </w:p>
    <w:p>
      <w:pPr>
        <w:spacing w:after="100"/>
      </w:pPr>
      <w:r>
        <w:rPr>
          <w:color w:val="000000"/>
        </w:rPr>
        <w:t>Speichern Sie zuerst eine eigene Kopie in Word oder einem kompatiblen Textprogramm. Füllen Sie nur die für Ihren Vorgang passenden Felder aus. Ungeklärte Angaben bleiben offen; notieren Sie die Rückfrage und die zuständige Person.</w:t>
      </w:r>
    </w:p>
    <w:p>
      <w:pPr>
        <w:spacing w:after="100"/>
      </w:pPr>
      <w:r>
        <w:rPr>
          <w:color w:val="000000"/>
        </w:rPr>
        <w:t>Ergänzen Sie bei Bedarf passende Zeilen oder Felder. Speichern Sie Änderungen in Ihrer eigenen Datei. Für die Weitergabe können Sie zusätzlich ein PDF erzeugen; die Word-Datei bleibt Ihre bearbeitbare Fassung.</w:t>
      </w:r>
    </w:p>
    <w:p>
      <w:pPr>
        <w:pStyle w:val="Heading1"/>
      </w:pPr>
      <w:r>
        <w:t>Aufgabe und Ansprechpartner klären</w:t>
      </w:r>
    </w:p>
    <w:p>
      <w:pPr>
        <w:pStyle w:val="ListBullet"/>
      </w:pPr>
      <w:r>
        <w:t>Vereinsvorstand: Auftrag, Entscheidungen, Verträge und Budgetgrenzen klären.</w:t>
      </w:r>
    </w:p>
    <w:p>
      <w:pPr>
        <w:pStyle w:val="ListBullet"/>
      </w:pPr>
      <w:r>
        <w:t>Anlagenbetreiber oder Vermieter: Nutzung, Mängelweg und Freigaben abstimmen.</w:t>
      </w:r>
    </w:p>
    <w:p>
      <w:pPr>
        <w:pStyle w:val="ListBullet"/>
      </w:pPr>
      <w:r>
        <w:t>Verantwortliche für Pferdehaltung und Unterricht: laufende Zuständigkeiten und Vertretung erklären.</w:t>
      </w:r>
    </w:p>
    <w:p>
      <w:pPr>
        <w:pStyle w:val="ListBullet"/>
      </w:pPr>
      <w:r>
        <w:t>Jugend- und Schutzansprechpersonen: Kontaktweg und bestehende Schutzmaßnahmen zugänglich machen; sensible Fälle getrennt verwahren.</w:t>
      </w:r>
    </w:p>
    <w:p>
      <w:r>
        <w:t>Notieren Sie Aufgabe, Umfang, Zeitbudget, entscheidende Stelle und erste Ansprechperson. Lassen Sie sich die gültige Satzung, einschlägige Beschlüsse und gegebenenfalls die Beauftragung zeigen. § 26 BGB regelt die Vertretung des Vereins. Eine interne Arbeitsaufgabe allein ist deshalb keine verlässliche Grundlage für eine Unterschrift oder verbindliche Zusage. Bei unklarer Vertretung wird vor einer Zusage nachgefragt.</w:t>
      </w:r>
    </w:p>
    <w:p>
      <w:r>
        <w:t>Verein und übernommene Aufgabe</w:t>
        <w:br/>
        <w:t>________________________________________________________________</w:t>
      </w:r>
    </w:p>
    <w:p>
      <w:r>
        <w:t>Beginn und vereinbarter Zeitumfang</w:t>
        <w:br/>
        <w:t>________________________________________________________________</w:t>
      </w:r>
    </w:p>
    <w:p>
      <w:r>
        <w:t>Begleitperson und Rückfragenkontakt</w:t>
        <w:br/>
        <w:t>________________________________________________________________</w:t>
      </w:r>
    </w:p>
    <w:p>
      <w:pPr>
        <w:pStyle w:val="Heading1"/>
        <w:pageBreakBefore/>
      </w:pPr>
      <w:r>
        <w:t>Fachunterlagen gemeinsam durchgehen</w:t>
      </w:r>
    </w:p>
    <w:p>
      <w:pPr>
        <w:pStyle w:val="Heading2"/>
      </w:pPr>
      <w:r>
        <w:t>Betriebs- und Nutzungsmodell</w:t>
      </w:r>
    </w:p>
    <w:p>
      <w:r>
        <w:t>Eigentum, Pacht, Hallennutzung und Verantwortlichkeiten schriftlich nachvollziehen. Welche Aufgaben beim Verein liegen, ergibt sich nicht allein daraus, dass Mitglieder die Anlage benutzen.</w:t>
      </w:r>
    </w:p>
    <w:p>
      <w:pPr>
        <w:pStyle w:val="Heading2"/>
      </w:pPr>
      <w:r>
        <w:t>Schulpferde sofern vorhanden</w:t>
      </w:r>
    </w:p>
    <w:p>
      <w:r>
        <w:t>Zuständige Halter- und Betreuungspersonen, vorhandene Versorgungs- und Einsatzdokumentation sowie geregelte Vertretung auffindbar halten. Änderungen an Versorgung oder Einsatz fachlich abstimmen.</w:t>
      </w:r>
    </w:p>
    <w:p>
      <w:pPr>
        <w:pStyle w:val="Heading2"/>
      </w:pPr>
      <w:r>
        <w:t>Anlagen und Ausrüstung</w:t>
      </w:r>
    </w:p>
    <w:p>
      <w:r>
        <w:t>Mängelliste, Wartungsunterlagen, Inventar und vereinbarte Prüf- beziehungsweise Sperrwege erfassen. Ein Haken in der Mappe ersetzt keine Fachprüfung von Gerät, Sattel oder Anlage.</w:t>
      </w:r>
    </w:p>
    <w:p>
      <w:pPr>
        <w:pStyle w:val="Heading2"/>
      </w:pPr>
      <w:r>
        <w:t>Belegung und Unterricht</w:t>
      </w:r>
    </w:p>
    <w:p>
      <w:r>
        <w:t>Hallenplan, Bahnordnung, Lehrgänge, Ausfälle und Kommunikationsweg erklären lassen. Vereinsplanung und eigenständige Angebote externer Betriebe sichtbar unterscheiden.</w:t>
      </w:r>
    </w:p>
    <w:p>
      <w:pPr>
        <w:pStyle w:val="Heading2"/>
      </w:pPr>
      <w:r>
        <w:t>Verträge und Schutz</w:t>
      </w:r>
    </w:p>
    <w:p>
      <w:r>
        <w:t>Nutzungs-, Unterrichts- und sonstige relevante Vereinbarungen sowie Schutzansprechwege erfassen. Personenbezogene Pferdehalter- oder Kinderdaten nur für die jeweilige Aufgabe zugänglich machen.</w:t>
      </w:r>
    </w:p>
    <w:p>
      <w:pPr>
        <w:pStyle w:val="Heading2"/>
      </w:pPr>
      <w:r>
        <w:t>Ein Beispiel für die Übergabe</w:t>
      </w:r>
    </w:p>
    <w:p>
      <w:r>
        <w:t>Beispiel zur Veranschaulichung: Ein neuer Anlagenverantwortlicher findet einen Hallenbelegungsplan und einen nicht erledigten Mängelhinweis. Er ändert nicht eigenständig die Nutzung, sondern klärt mit dem tatsächlichen Betreiber den Status und die zuständige Freigabe. In der Mappe werden Rückmeldung, verantwortliche Person und nächster Prüfschritt festgehalten.</w:t>
      </w:r>
    </w:p>
    <w:p>
      <w:pPr>
        <w:pStyle w:val="Heading1"/>
        <w:pageBreakBefore/>
      </w:pPr>
      <w:r>
        <w:t>Den ersten Monat organisieren</w:t>
      </w:r>
    </w:p>
    <w:p>
      <w:r>
        <w:t>Die folgenden Zeitfenster sind ein eigener, anpassbarer Organisationsvorschlag. Sie sind keine gesetzliche Frist. Dringende rechtliche, finanzielle, Versorgungs- oder Sicherheitsfragen werden sofort an die zuständigen Personen gegeben und nicht bis zum Ende des Monats aufgeschoben.</w:t>
      </w:r>
    </w:p>
    <w:p>
      <w:pPr>
        <w:pStyle w:val="Heading2"/>
      </w:pPr>
      <w:r>
        <w:t>Tag 1 bis 3</w:t>
      </w:r>
    </w:p>
    <w:p>
      <w:r>
        <w:t>Mit Vorstand und tatsächlichem Betreiber den Vereinsauftrag sowie laufende Versorgung und dringende Mängel klären.</w:t>
      </w:r>
    </w:p>
    <w:p>
      <w:r>
        <w:t>Ergebnis: Keine Zuständigkeitslücke wird durch eine unklare Amtsübergabe verdeckt.</w:t>
      </w:r>
    </w:p>
    <w:p>
      <w:pPr>
        <w:pStyle w:val="Heading2"/>
      </w:pPr>
      <w:r>
        <w:t>Tag 4 bis 7</w:t>
      </w:r>
    </w:p>
    <w:p>
      <w:r>
        <w:t>Eine begleitete Anlagenbegehung und die Erklärung des Belegungsplans organisieren.</w:t>
      </w:r>
    </w:p>
    <w:p>
      <w:r>
        <w:t>Ergebnis: Mängelweg, Schlüssel und Freigabezuständigkeiten sind dokumentiert.</w:t>
      </w:r>
    </w:p>
    <w:p>
      <w:pPr>
        <w:pStyle w:val="Heading2"/>
      </w:pPr>
      <w:r>
        <w:t>Tag 8 bis 14</w:t>
      </w:r>
    </w:p>
    <w:p>
      <w:r>
        <w:t>Einen begrenzten Vorgang wie Hallenabstimmung oder Lehrgangsunterlagen begleitet bearbeiten.</w:t>
      </w:r>
    </w:p>
    <w:p>
      <w:r>
        <w:t>Ergebnis: Vereins- und Betreiberentscheidungen bleiben unterscheidbar.</w:t>
      </w:r>
    </w:p>
    <w:p>
      <w:pPr>
        <w:pStyle w:val="Heading2"/>
      </w:pPr>
      <w:r>
        <w:t>Tag 15 bis 30</w:t>
      </w:r>
    </w:p>
    <w:p>
      <w:r>
        <w:t>Offene Versorgungs-, Vertrags- oder Prüfungsfragen mit den zuständigen Personen nachhalten.</w:t>
      </w:r>
    </w:p>
    <w:p>
      <w:r>
        <w:t>Ergebnis: Vertretung und nächste Termine stehen im Arbeitsplan.</w:t>
      </w:r>
    </w:p>
    <w:p>
      <w:pPr>
        <w:pStyle w:val="Heading2"/>
      </w:pPr>
      <w:r>
        <w:t>Offene Aufgaben festhalten</w:t>
      </w:r>
    </w:p>
    <w:tbl>
      <w:tblPr>
        <w:tblStyle w:val="TableGrid"/>
        <w:tblW w:type="auto" w:w="0"/>
        <w:jc w:val="center"/>
        <w:tblLayout w:type="fixed"/>
        <w:tblLook w:firstColumn="1" w:firstRow="1" w:lastColumn="0" w:lastRow="0" w:noHBand="0" w:noVBand="1" w:val="04A0"/>
      </w:tblPr>
      <w:tblGrid>
        <w:gridCol w:w="4535"/>
        <w:gridCol w:w="2268"/>
        <w:gridCol w:w="2835"/>
      </w:tblGrid>
      <w:tr>
        <w:trPr>
          <w:tblHeader/>
          <w:cantSplit/>
        </w:trPr>
        <w:tc>
          <w:tcPr>
            <w:tcW w:type="dxa" w:w="4535"/>
            <w:shd w:fill="E7E6E6"/>
          </w:tcPr>
          <w:p>
            <w:pPr>
              <w:spacing w:after="60" w:before="60"/>
            </w:pPr>
            <w:r>
              <w:rPr>
                <w:b/>
                <w:sz w:val="18"/>
              </w:rPr>
              <w:t>Aufgabe und nächster Schritt</w:t>
            </w:r>
          </w:p>
        </w:tc>
        <w:tc>
          <w:tcPr>
            <w:tcW w:type="dxa" w:w="2268"/>
            <w:shd w:fill="E7E6E6"/>
          </w:tcPr>
          <w:p>
            <w:pPr>
              <w:spacing w:after="60" w:before="60"/>
            </w:pPr>
            <w:r>
              <w:rPr>
                <w:b/>
                <w:sz w:val="18"/>
              </w:rPr>
              <w:t>Verantwortlich</w:t>
            </w:r>
          </w:p>
        </w:tc>
        <w:tc>
          <w:tcPr>
            <w:tcW w:type="dxa" w:w="2835"/>
            <w:shd w:fill="E7E6E6"/>
          </w:tcPr>
          <w:p>
            <w:pPr>
              <w:spacing w:after="60" w:before="60"/>
            </w:pPr>
            <w:r>
              <w:rPr>
                <w:b/>
                <w:sz w:val="18"/>
              </w:rPr>
              <w:t>Termin und Status</w:t>
            </w:r>
          </w:p>
        </w:tc>
      </w:tr>
      <w:tr>
        <w:trPr>
          <w:cantSplit/>
        </w:trPr>
        <w:tc>
          <w:tcPr>
            <w:tcW w:type="dxa" w:w="4535"/>
          </w:tcPr>
          <w:p>
            <w:pPr>
              <w:spacing w:after="60" w:before="60"/>
            </w:pPr>
            <w:r>
              <w:rPr>
                <w:sz w:val="18"/>
              </w:rPr>
              <w:br/>
            </w:r>
          </w:p>
        </w:tc>
        <w:tc>
          <w:tcPr>
            <w:tcW w:type="dxa" w:w="2268"/>
          </w:tcPr>
          <w:p>
            <w:pPr>
              <w:spacing w:after="60" w:before="60"/>
            </w:pPr>
            <w:r>
              <w:rPr>
                <w:sz w:val="18"/>
              </w:rPr>
              <w:br/>
            </w:r>
          </w:p>
        </w:tc>
        <w:tc>
          <w:tcPr>
            <w:tcW w:type="dxa" w:w="2835"/>
          </w:tcPr>
          <w:p>
            <w:pPr>
              <w:spacing w:after="60" w:before="60"/>
            </w:pPr>
            <w:r>
              <w:rPr>
                <w:sz w:val="18"/>
              </w:rPr>
              <w:br/>
            </w:r>
          </w:p>
        </w:tc>
      </w:tr>
      <w:tr>
        <w:trPr>
          <w:cantSplit/>
        </w:trPr>
        <w:tc>
          <w:tcPr>
            <w:tcW w:type="dxa" w:w="4535"/>
          </w:tcPr>
          <w:p>
            <w:pPr>
              <w:spacing w:after="60" w:before="60"/>
            </w:pPr>
            <w:r>
              <w:rPr>
                <w:sz w:val="18"/>
              </w:rPr>
              <w:br/>
            </w:r>
          </w:p>
        </w:tc>
        <w:tc>
          <w:tcPr>
            <w:tcW w:type="dxa" w:w="2268"/>
          </w:tcPr>
          <w:p>
            <w:pPr>
              <w:spacing w:after="60" w:before="60"/>
            </w:pPr>
            <w:r>
              <w:rPr>
                <w:sz w:val="18"/>
              </w:rPr>
              <w:br/>
            </w:r>
          </w:p>
        </w:tc>
        <w:tc>
          <w:tcPr>
            <w:tcW w:type="dxa" w:w="2835"/>
          </w:tcPr>
          <w:p>
            <w:pPr>
              <w:spacing w:after="60" w:before="60"/>
            </w:pPr>
            <w:r>
              <w:rPr>
                <w:sz w:val="18"/>
              </w:rPr>
              <w:br/>
            </w:r>
          </w:p>
        </w:tc>
      </w:tr>
      <w:tr>
        <w:trPr>
          <w:cantSplit/>
        </w:trPr>
        <w:tc>
          <w:tcPr>
            <w:tcW w:type="dxa" w:w="4535"/>
          </w:tcPr>
          <w:p>
            <w:pPr>
              <w:spacing w:after="60" w:before="60"/>
            </w:pPr>
            <w:r>
              <w:rPr>
                <w:sz w:val="18"/>
              </w:rPr>
              <w:br/>
            </w:r>
          </w:p>
        </w:tc>
        <w:tc>
          <w:tcPr>
            <w:tcW w:type="dxa" w:w="2268"/>
          </w:tcPr>
          <w:p>
            <w:pPr>
              <w:spacing w:after="60" w:before="60"/>
            </w:pPr>
            <w:r>
              <w:rPr>
                <w:sz w:val="18"/>
              </w:rPr>
              <w:br/>
            </w:r>
          </w:p>
        </w:tc>
        <w:tc>
          <w:tcPr>
            <w:tcW w:type="dxa" w:w="2835"/>
          </w:tcPr>
          <w:p>
            <w:pPr>
              <w:spacing w:after="60" w:before="60"/>
            </w:pPr>
            <w:r>
              <w:rPr>
                <w:sz w:val="18"/>
              </w:rPr>
              <w:br/>
            </w:r>
          </w:p>
        </w:tc>
      </w:tr>
    </w:tbl>
    <w:p>
      <w:r>
        <w:t>Nicht zutreffende Punkte begründen. Kritische Fragen unmittelbar weitergeben. Eine Aufgabe erst nach nachvollziehbarer Kontrolle als geprüft markieren.</w:t>
      </w:r>
    </w:p>
    <w:p>
      <w:pPr>
        <w:pStyle w:val="Heading1"/>
        <w:pageBreakBefore/>
      </w:pPr>
      <w:r>
        <w:t>Übergabe und nächsten Prüftermin festhalten</w:t>
      </w:r>
    </w:p>
    <w:p>
      <w:r>
        <w:t>In diese Mappe gehören Systemname, zuständige Person, Berechtigungsstand und der Verweis auf einen geschützten Ablageort. Tragen Sie keine Passwörter, Zugangstokens, TAN, Bankzugangsdaten oder vertraulichen Falldetails ein. Prüfen Sie erforderliche Rechte und Vertretungen am tatsächlichen System. Sensible Fachakten bleiben in ihrer dafür vorgesehenen Ablage.</w:t>
      </w:r>
    </w:p>
    <w:tbl>
      <w:tblPr>
        <w:tblStyle w:val="TableGrid"/>
        <w:tblW w:type="auto" w:w="0"/>
        <w:jc w:val="center"/>
        <w:tblLayout w:type="fixed"/>
        <w:tblLook w:firstColumn="1" w:firstRow="1" w:lastColumn="0" w:lastRow="0" w:noHBand="0" w:noVBand="1" w:val="04A0"/>
      </w:tblPr>
      <w:tblGrid>
        <w:gridCol w:w="2835"/>
        <w:gridCol w:w="3402"/>
        <w:gridCol w:w="3402"/>
      </w:tblGrid>
      <w:tr>
        <w:trPr>
          <w:tblHeader/>
          <w:cantSplit/>
        </w:trPr>
        <w:tc>
          <w:tcPr>
            <w:tcW w:type="dxa" w:w="2835"/>
            <w:shd w:fill="E7E6E6"/>
          </w:tcPr>
          <w:p>
            <w:pPr>
              <w:spacing w:after="60" w:before="60"/>
            </w:pPr>
            <w:r>
              <w:rPr>
                <w:b/>
                <w:sz w:val="18"/>
              </w:rPr>
              <w:t>Bereich oder Unterlage</w:t>
            </w:r>
          </w:p>
        </w:tc>
        <w:tc>
          <w:tcPr>
            <w:tcW w:type="dxa" w:w="3402"/>
            <w:shd w:fill="E7E6E6"/>
          </w:tcPr>
          <w:p>
            <w:pPr>
              <w:spacing w:after="60" w:before="60"/>
            </w:pPr>
            <w:r>
              <w:rPr>
                <w:b/>
                <w:sz w:val="18"/>
              </w:rPr>
              <w:t>Fundort und berechtigte Rolle</w:t>
            </w:r>
          </w:p>
        </w:tc>
        <w:tc>
          <w:tcPr>
            <w:tcW w:type="dxa" w:w="3402"/>
            <w:shd w:fill="E7E6E6"/>
          </w:tcPr>
          <w:p>
            <w:pPr>
              <w:spacing w:after="60" w:before="60"/>
            </w:pPr>
            <w:r>
              <w:rPr>
                <w:b/>
                <w:sz w:val="18"/>
              </w:rPr>
              <w:t>Status und offene Frage</w:t>
            </w:r>
          </w:p>
        </w:tc>
      </w:tr>
      <w:tr>
        <w:trPr>
          <w:cantSplit/>
        </w:trPr>
        <w:tc>
          <w:tcPr>
            <w:tcW w:type="dxa" w:w="2835"/>
          </w:tcPr>
          <w:p>
            <w:pPr>
              <w:spacing w:after="60" w:before="60"/>
            </w:pPr>
            <w:r>
              <w:rPr>
                <w:sz w:val="18"/>
              </w:rPr>
              <w:t>Betriebs- und Nutzungsmodell</w:t>
            </w:r>
          </w:p>
        </w:tc>
        <w:tc>
          <w:tcPr>
            <w:tcW w:type="dxa" w:w="3402"/>
          </w:tcPr>
          <w:p>
            <w:pPr>
              <w:spacing w:after="60" w:before="60"/>
            </w:pPr>
            <w:r>
              <w:rPr>
                <w:sz w:val="18"/>
              </w:rPr>
              <w:br/>
            </w:r>
          </w:p>
        </w:tc>
        <w:tc>
          <w:tcPr>
            <w:tcW w:type="dxa" w:w="3402"/>
          </w:tcPr>
          <w:p>
            <w:pPr>
              <w:spacing w:after="60" w:before="60"/>
            </w:pPr>
            <w:r>
              <w:rPr>
                <w:sz w:val="18"/>
              </w:rPr>
              <w:br/>
            </w:r>
          </w:p>
        </w:tc>
      </w:tr>
      <w:tr>
        <w:trPr>
          <w:cantSplit/>
        </w:trPr>
        <w:tc>
          <w:tcPr>
            <w:tcW w:type="dxa" w:w="2835"/>
          </w:tcPr>
          <w:p>
            <w:pPr>
              <w:spacing w:after="60" w:before="60"/>
            </w:pPr>
            <w:r>
              <w:rPr>
                <w:sz w:val="18"/>
              </w:rPr>
              <w:t>Schulpferde sofern vorhanden</w:t>
            </w:r>
          </w:p>
        </w:tc>
        <w:tc>
          <w:tcPr>
            <w:tcW w:type="dxa" w:w="3402"/>
          </w:tcPr>
          <w:p>
            <w:pPr>
              <w:spacing w:after="60" w:before="60"/>
            </w:pPr>
            <w:r>
              <w:rPr>
                <w:sz w:val="18"/>
              </w:rPr>
              <w:br/>
            </w:r>
          </w:p>
        </w:tc>
        <w:tc>
          <w:tcPr>
            <w:tcW w:type="dxa" w:w="3402"/>
          </w:tcPr>
          <w:p>
            <w:pPr>
              <w:spacing w:after="60" w:before="60"/>
            </w:pPr>
            <w:r>
              <w:rPr>
                <w:sz w:val="18"/>
              </w:rPr>
              <w:br/>
            </w:r>
          </w:p>
        </w:tc>
      </w:tr>
      <w:tr>
        <w:trPr>
          <w:cantSplit/>
        </w:trPr>
        <w:tc>
          <w:tcPr>
            <w:tcW w:type="dxa" w:w="2835"/>
          </w:tcPr>
          <w:p>
            <w:pPr>
              <w:spacing w:after="60" w:before="60"/>
            </w:pPr>
            <w:r>
              <w:rPr>
                <w:sz w:val="18"/>
              </w:rPr>
              <w:t>Anlagen und Ausrüstung</w:t>
            </w:r>
          </w:p>
        </w:tc>
        <w:tc>
          <w:tcPr>
            <w:tcW w:type="dxa" w:w="3402"/>
          </w:tcPr>
          <w:p>
            <w:pPr>
              <w:spacing w:after="60" w:before="60"/>
            </w:pPr>
            <w:r>
              <w:rPr>
                <w:sz w:val="18"/>
              </w:rPr>
              <w:br/>
            </w:r>
          </w:p>
        </w:tc>
        <w:tc>
          <w:tcPr>
            <w:tcW w:type="dxa" w:w="3402"/>
          </w:tcPr>
          <w:p>
            <w:pPr>
              <w:spacing w:after="60" w:before="60"/>
            </w:pPr>
            <w:r>
              <w:rPr>
                <w:sz w:val="18"/>
              </w:rPr>
              <w:br/>
            </w:r>
          </w:p>
        </w:tc>
      </w:tr>
      <w:tr>
        <w:trPr>
          <w:cantSplit/>
        </w:trPr>
        <w:tc>
          <w:tcPr>
            <w:tcW w:type="dxa" w:w="2835"/>
          </w:tcPr>
          <w:p>
            <w:pPr>
              <w:spacing w:after="60" w:before="60"/>
            </w:pPr>
            <w:r>
              <w:rPr>
                <w:sz w:val="18"/>
              </w:rPr>
              <w:t>Belegung und Unterricht</w:t>
            </w:r>
          </w:p>
        </w:tc>
        <w:tc>
          <w:tcPr>
            <w:tcW w:type="dxa" w:w="3402"/>
          </w:tcPr>
          <w:p>
            <w:pPr>
              <w:spacing w:after="60" w:before="60"/>
            </w:pPr>
            <w:r>
              <w:rPr>
                <w:sz w:val="18"/>
              </w:rPr>
              <w:br/>
            </w:r>
          </w:p>
        </w:tc>
        <w:tc>
          <w:tcPr>
            <w:tcW w:type="dxa" w:w="3402"/>
          </w:tcPr>
          <w:p>
            <w:pPr>
              <w:spacing w:after="60" w:before="60"/>
            </w:pPr>
            <w:r>
              <w:rPr>
                <w:sz w:val="18"/>
              </w:rPr>
              <w:br/>
            </w:r>
          </w:p>
        </w:tc>
      </w:tr>
      <w:tr>
        <w:trPr>
          <w:cantSplit/>
        </w:trPr>
        <w:tc>
          <w:tcPr>
            <w:tcW w:type="dxa" w:w="2835"/>
          </w:tcPr>
          <w:p>
            <w:pPr>
              <w:spacing w:after="60" w:before="60"/>
            </w:pPr>
            <w:r>
              <w:rPr>
                <w:sz w:val="18"/>
              </w:rPr>
              <w:t>Verträge und Schutz</w:t>
            </w:r>
          </w:p>
        </w:tc>
        <w:tc>
          <w:tcPr>
            <w:tcW w:type="dxa" w:w="3402"/>
          </w:tcPr>
          <w:p>
            <w:pPr>
              <w:spacing w:after="60" w:before="60"/>
            </w:pPr>
            <w:r>
              <w:rPr>
                <w:sz w:val="18"/>
              </w:rPr>
              <w:br/>
            </w:r>
          </w:p>
        </w:tc>
        <w:tc>
          <w:tcPr>
            <w:tcW w:type="dxa" w:w="3402"/>
          </w:tcPr>
          <w:p>
            <w:pPr>
              <w:spacing w:after="60" w:before="60"/>
            </w:pPr>
            <w:r>
              <w:rPr>
                <w:sz w:val="18"/>
              </w:rPr>
              <w:br/>
            </w:r>
          </w:p>
        </w:tc>
      </w:tr>
    </w:tbl>
    <w:p>
      <w:r>
        <w:t>Übergeben von und übernommen von</w:t>
        <w:br/>
        <w:t>________________________________________________________________</w:t>
      </w:r>
    </w:p>
    <w:p>
      <w:r>
        <w:t>Datum und nächster gemeinsamer Prüftermin</w:t>
        <w:br/>
        <w:t>________________________________________________________________</w:t>
      </w:r>
    </w:p>
    <w:p>
      <w:r>
        <w:t>Diese Bestätigung hält den dokumentierten Übergabestand fest. Sie bestätigt keine Vollständigkeit unbekannter Bestände, ersetzt keine Fachprüfung und bewirkt keine pauschale Entlastung.</w:t>
      </w:r>
    </w:p>
    <w:p>
      <w:pPr>
        <w:pStyle w:val="Heading2"/>
      </w:pPr>
      <w:r>
        <w:t>Mit einer kleinen Aufgabe beginnen</w:t>
      </w:r>
    </w:p>
    <w:p>
      <w:r>
        <w:t>Sie können beispielsweise die organisatorische Lehrgangsvorbereitung unterstützen. Vereinbaren Sie, ob Ihre Aufgabe nur Anmeldung und Material umfasst oder weitere Einweisungen erfordert. Pferdebetreuung, Unterricht und technische Prüfungen werden nicht stillschweigend Teil eines allgemeinen Helferauftrags.</w:t>
      </w:r>
    </w:p>
    <w:p>
      <w:pPr>
        <w:pStyle w:val="Heading2"/>
      </w:pPr>
      <w:r>
        <w:t>Gesetze und öffentliche Stellen</w:t>
      </w:r>
    </w:p>
    <w:p>
      <w:hyperlink r:id="rId9">
        <w:r>
          <w:t>Vorstand und Vertretung nach § 26 BGB</w:t>
        </w:r>
      </w:hyperlink>
    </w:p>
    <w:p>
      <w:r>
        <w:t>Stand: Oktober 2026</w:t>
      </w:r>
    </w:p>
    <w:sectPr w:rsidR="00FC693F" w:rsidRPr="0006063C" w:rsidSect="00034616">
      <w:pgSz w:w="11906" w:h="16838"/>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Calibri" w:hAnsi="Calibri"/>
      <w:color w:val="000000"/>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120"/>
      <w:outlineLvl w:val="0"/>
    </w:pPr>
    <w:rPr>
      <w:rFonts w:asciiTheme="majorHAnsi" w:eastAsiaTheme="majorEastAsia" w:hAnsiTheme="majorHAnsi" w:cstheme="majorBidi" w:ascii="Calibri" w:hAnsi="Calibri"/>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00" w:after="120"/>
      <w:outlineLvl w:val="1"/>
    </w:pPr>
    <w:rPr>
      <w:rFonts w:asciiTheme="majorHAnsi" w:eastAsiaTheme="majorEastAsia" w:hAnsiTheme="majorHAnsi" w:cstheme="majorBidi" w:ascii="Calibri" w:hAnsi="Calibri"/>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20" w:line="240" w:lineRule="auto"/>
      <w:contextualSpacing/>
    </w:pPr>
    <w:rPr>
      <w:rFonts w:asciiTheme="majorHAnsi" w:eastAsiaTheme="majorEastAsia" w:hAnsiTheme="majorHAnsi" w:cstheme="majorBidi" w:ascii="Calibri" w:hAnsi="Calibri"/>
      <w:color w:val="000000"/>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120"/>
    </w:pPr>
    <w:rPr>
      <w:rFonts w:asciiTheme="majorHAnsi" w:eastAsiaTheme="majorEastAsia" w:hAnsiTheme="majorHAnsi" w:cstheme="majorBidi" w:ascii="Calibri" w:hAnsi="Calibr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www.gesetze-im-internet.de/bgb/__26.html" TargetMode="External"/><Relationship Id="rId10" Type="http://schemas.openxmlformats.org/officeDocument/2006/relationships/hyperlink" Target="https://app.pferd-aktuell.de/breitensport/vereine-und-betriebe/vereins--und-betriebsfuehrung/vereins--und-betriebsfuehrung" TargetMode="External"/><Relationship Id="rId11" Type="http://schemas.openxmlformats.org/officeDocument/2006/relationships/hyperlink" Target="https://www.verbandsbuero.de/checklisten-vorlage/vorstandswechsel-ohne-chaos/" TargetMode="External"/><Relationship Id="rId12" Type="http://schemas.openxmlformats.org/officeDocument/2006/relationships/hyperlink" Target="https://www.verbandsbuero.de/checklisten-vorlage/vereins-notfallmap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Einarbeitung im Reitverein</dc:title>
  <dc:subject>REI-025 | P03-01 | Fassung 1.0 | 21.10.2026</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