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Belege einreichen und abgleichen</w:t>
      </w:r>
    </w:p>
    <w:p>
      <w:r>
        <w:t>Reitverein | Für Mitglieder mit Auslagen sowie Vorstand und Kasse</w:t>
      </w:r>
    </w:p>
    <w:p>
      <w:r>
        <w:t>Seite 1 dokumentiert eine tatsächliche Auslage. Die Kasse prüft Auftrag, Beleg und Zahlungsstatus. Erst die zuständige Freigabe entscheidet über eine Erstattung. Eigene Organisationsvorlage, keine Buchungsanweisung.</w:t>
      </w:r>
    </w:p>
    <w:p>
      <w:pPr>
        <w:spacing w:after="100"/>
        <w:keepNext/>
      </w:pPr>
      <w:r>
        <w:rPr>
          <w:b/>
          <w:color w:val="000000"/>
        </w:rPr>
        <w:t>So verwenden Sie die Vorlage</w:t>
      </w:r>
    </w:p>
    <w:p>
      <w:pPr>
        <w:spacing w:after="100"/>
      </w:pPr>
      <w:r>
        <w:rPr>
          <w:color w:val="000000"/>
        </w:rPr>
        <w:t>Speichern Sie zuerst eine eigene Kopie in Word oder einem kompatiblen Textprogramm. Füllen Sie nur die für Ihren Vorgang passenden Felder aus. Ungeklärte Angaben bleiben offen; notieren Sie die Rückfrage und die zuständige Person.</w:t>
      </w:r>
    </w:p>
    <w:p>
      <w:pPr>
        <w:spacing w:after="100"/>
      </w:pPr>
      <w:r>
        <w:rPr>
          <w:color w:val="000000"/>
        </w:rPr>
        <w:t>Ergänzen Sie bei Bedarf passende Zeilen oder Felder. Speichern Sie Änderungen in Ihrer eigenen Datei. Für die Weitergabe können Sie zusätzlich ein PDF erzeugen; die Word-Datei bleibt Ihre bearbeitbare Fassung.</w:t>
      </w:r>
    </w:p>
    <w:p>
      <w:pPr>
        <w:pStyle w:val="Heading1"/>
      </w:pPr>
      <w:r>
        <w:t>Auslage zur Prüfung einreichen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</w:tblPr>
      <w:tblGrid>
        <w:gridCol w:w="3572"/>
        <w:gridCol w:w="6066"/>
      </w:tblGrid>
      <w:tr>
        <w:trPr>
          <w:cantSplit/>
          <w:tblHeader/>
        </w:trPr>
        <w:tc>
          <w:tcPr>
            <w:tcW w:type="dxa" w:w="3572"/>
            <w:shd w:fill="E7E6E6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/>
                <w:sz w:val="18"/>
              </w:rPr>
              <w:t>Angabe</w:t>
            </w:r>
          </w:p>
        </w:tc>
        <w:tc>
          <w:tcPr>
            <w:tcW w:type="dxa" w:w="6066"/>
            <w:shd w:fill="E7E6E6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/>
                <w:sz w:val="18"/>
              </w:rPr>
              <w:t>Eintrag</w:t>
            </w:r>
          </w:p>
        </w:tc>
      </w:tr>
      <w:tr>
        <w:trPr>
          <w:cantSplit/>
        </w:trPr>
        <w:tc>
          <w:tcPr>
            <w:tcW w:type="dxa" w:w="3572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Verein und Vorgangsnummer</w:t>
            </w:r>
          </w:p>
        </w:tc>
        <w:tc>
          <w:tcPr>
            <w:tcW w:type="dxa" w:w="6066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</w:trPr>
        <w:tc>
          <w:tcPr>
            <w:tcW w:type="dxa" w:w="3572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Einreichende Person und Kontakt</w:t>
            </w:r>
          </w:p>
        </w:tc>
        <w:tc>
          <w:tcPr>
            <w:tcW w:type="dxa" w:w="6066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</w:trPr>
        <w:tc>
          <w:tcPr>
            <w:tcW w:type="dxa" w:w="3572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Anlass und Vereinsauftrag</w:t>
            </w:r>
          </w:p>
        </w:tc>
        <w:tc>
          <w:tcPr>
            <w:tcW w:type="dxa" w:w="6066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</w:trPr>
        <w:tc>
          <w:tcPr>
            <w:tcW w:type="dxa" w:w="3572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Belegdatum und Aussteller</w:t>
            </w:r>
          </w:p>
        </w:tc>
        <w:tc>
          <w:tcPr>
            <w:tcW w:type="dxa" w:w="6066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</w:trPr>
        <w:tc>
          <w:tcPr>
            <w:tcW w:type="dxa" w:w="3572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Leistung und Gesamtbetrag</w:t>
            </w:r>
          </w:p>
        </w:tc>
        <w:tc>
          <w:tcPr>
            <w:tcW w:type="dxa" w:w="6066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</w:trPr>
        <w:tc>
          <w:tcPr>
            <w:tcW w:type="dxa" w:w="3572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Vereinsanteil und Abgrenzung</w:t>
            </w:r>
          </w:p>
        </w:tc>
        <w:tc>
          <w:tcPr>
            <w:tcW w:type="dxa" w:w="6066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</w:trPr>
        <w:tc>
          <w:tcPr>
            <w:tcW w:type="dxa" w:w="3572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Belegverweis und Zahlungsnachweis</w:t>
            </w:r>
          </w:p>
        </w:tc>
        <w:tc>
          <w:tcPr>
            <w:tcW w:type="dxa" w:w="6066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</w:trPr>
        <w:tc>
          <w:tcPr>
            <w:tcW w:type="dxa" w:w="3572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Zahlungsweg und bereits erstattet</w:t>
            </w:r>
          </w:p>
        </w:tc>
        <w:tc>
          <w:tcPr>
            <w:tcW w:type="dxa" w:w="6066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</w:trPr>
        <w:tc>
          <w:tcPr>
            <w:tcW w:type="dxa" w:w="3572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Lehrgang oder Vereinsbetrieb</w:t>
            </w:r>
          </w:p>
        </w:tc>
        <w:tc>
          <w:tcPr>
            <w:tcW w:type="dxa" w:w="6066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</w:trPr>
        <w:tc>
          <w:tcPr>
            <w:tcW w:type="dxa" w:w="3572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Verein oder Anlagenbetreiber als Auftraggeber</w:t>
            </w:r>
          </w:p>
        </w:tc>
        <w:tc>
          <w:tcPr>
            <w:tcW w:type="dxa" w:w="6066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</w:trPr>
        <w:tc>
          <w:tcPr>
            <w:tcW w:type="dxa" w:w="3572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Eigentümer und Kostenträger der betroffenen Sache</w:t>
            </w:r>
          </w:p>
        </w:tc>
        <w:tc>
          <w:tcPr>
            <w:tcW w:type="dxa" w:w="6066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</w:tbl>
    <w:p>
      <w:pPr>
        <w:spacing w:after="0"/>
      </w:pPr>
    </w:p>
    <w:p>
      <w:pPr>
        <w:pStyle w:val="Heading2"/>
      </w:pPr>
      <w:r>
        <w:t>Prüfung durch zuständige Person</w:t>
      </w:r>
    </w:p>
    <w:p>
      <w:r>
        <w:t>Auftrag geklärt: ______ Beleg zugeordnet: ______ Doppelerstattung geprüft: ______Offener Punkt und nächster Schritt: __________________________________Freigabe oder Rückfrage durch / Datum: ________________________________</w:t>
        <w:br/>
        <w:t/>
        <w:br/>
        <w:t/>
      </w:r>
    </w:p>
    <w:p>
      <w:r>
        <w:t>Bankdaten nur im geschützten Erstattungsweg übermitteln. Keine Passwörter eintragen. Fehlende Belege beim Aussteller nachfordern; keine Belege oder Daten erfinden.</w:t>
      </w:r>
    </w:p>
    <w:p>
      <w:pPr>
        <w:pStyle w:val="Heading1"/>
        <w:pageBreakBefore/>
      </w:pPr>
      <w:r>
        <w:t>Regelmäßigen Abgleich festhalten</w:t>
      </w:r>
    </w:p>
    <w:p>
      <w:r>
        <w:t>Zeitraum: __________________ Konto oder Kasse: __________________Abgleich durch / Datum: ____________________________________________</w:t>
        <w:br/>
        <w:t/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</w:tblPr>
      <w:tblGrid>
        <w:gridCol w:w="4535"/>
        <w:gridCol w:w="5102"/>
      </w:tblGrid>
      <w:tr>
        <w:trPr>
          <w:cantSplit/>
          <w:tblHeader/>
        </w:trPr>
        <w:tc>
          <w:tcPr>
            <w:tcW w:type="dxa" w:w="4535"/>
            <w:shd w:fill="E7E6E6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/>
                <w:sz w:val="18"/>
              </w:rPr>
              <w:t>Kontrollpunkt</w:t>
            </w:r>
          </w:p>
        </w:tc>
        <w:tc>
          <w:tcPr>
            <w:tcW w:type="dxa" w:w="5102"/>
            <w:shd w:fill="E7E6E6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/>
                <w:sz w:val="18"/>
              </w:rPr>
              <w:t>Feststellung oder Verweis</w:t>
            </w:r>
          </w:p>
        </w:tc>
      </w:tr>
      <w:tr>
        <w:trPr>
          <w:cantSplit/>
        </w:trPr>
        <w:tc>
          <w:tcPr>
            <w:tcW w:type="dxa" w:w="4535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Anfangsbestand laut Unterlagen</w:t>
            </w:r>
          </w:p>
        </w:tc>
        <w:tc>
          <w:tcPr>
            <w:tcW w:type="dxa" w:w="5102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</w:trPr>
        <w:tc>
          <w:tcPr>
            <w:tcW w:type="dxa" w:w="4535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Einzeln belegte Einnahmen und Ausgaben</w:t>
            </w:r>
          </w:p>
        </w:tc>
        <w:tc>
          <w:tcPr>
            <w:tcW w:type="dxa" w:w="5102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</w:trPr>
        <w:tc>
          <w:tcPr>
            <w:tcW w:type="dxa" w:w="4535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Endbestand laut Konto oder Kasse</w:t>
            </w:r>
          </w:p>
        </w:tc>
        <w:tc>
          <w:tcPr>
            <w:tcW w:type="dxa" w:w="5102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</w:trPr>
        <w:tc>
          <w:tcPr>
            <w:tcW w:type="dxa" w:w="4535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Bargeld gezählt am und Zählbestand</w:t>
            </w:r>
          </w:p>
        </w:tc>
        <w:tc>
          <w:tcPr>
            <w:tcW w:type="dxa" w:w="5102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</w:trPr>
        <w:tc>
          <w:tcPr>
            <w:tcW w:type="dxa" w:w="4535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Interne Umbuchungen abgeglichen</w:t>
            </w:r>
          </w:p>
        </w:tc>
        <w:tc>
          <w:tcPr>
            <w:tcW w:type="dxa" w:w="5102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</w:trPr>
        <w:tc>
          <w:tcPr>
            <w:tcW w:type="dxa" w:w="4535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Belege und Zahlungen zugeordnet</w:t>
            </w:r>
          </w:p>
        </w:tc>
        <w:tc>
          <w:tcPr>
            <w:tcW w:type="dxa" w:w="5102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</w:trPr>
        <w:tc>
          <w:tcPr>
            <w:tcW w:type="dxa" w:w="4535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Offene Vorgänge und Bindungen</w:t>
            </w:r>
          </w:p>
        </w:tc>
        <w:tc>
          <w:tcPr>
            <w:tcW w:type="dxa" w:w="5102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</w:tbl>
    <w:p>
      <w:pPr>
        <w:spacing w:after="0"/>
      </w:pPr>
    </w:p>
    <w:p>
      <w:pPr>
        <w:pStyle w:val="Heading2"/>
      </w:pPr>
      <w:r>
        <w:t>In dieser Branche besonders prüfen</w:t>
      </w:r>
    </w:p>
    <w:p>
      <w:r>
        <w:t>Anlagenvereinbarung und Kostenübernahme beiziehen; eine Nutzung durch Vereinsmitglieder bedeutet keine automatische Zahlungspflicht des Vereins.</w:t>
      </w:r>
    </w:p>
    <w:p>
      <w:r>
        <w:t>Kosten einzelner Privatpferde nicht pauschal dem Verein zuordnen. Ein konkreter Vereinsauftrag braucht eine eigene Grundlage.</w:t>
      </w:r>
    </w:p>
    <w:p>
      <w:r>
        <w:t>Bei gemeinsam genutztem Material Eigentum und Nutzung dokumentieren, damit spätere Reparaturen zugeordnet werden können.</w:t>
      </w:r>
    </w:p>
    <w:p>
      <w:pPr>
        <w:pStyle w:val="Heading2"/>
      </w:pPr>
      <w:r>
        <w:t>Offene Fälle weiterverfolgen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</w:tblPr>
      <w:tblGrid>
        <w:gridCol w:w="3969"/>
        <w:gridCol w:w="2835"/>
        <w:gridCol w:w="2835"/>
      </w:tblGrid>
      <w:tr>
        <w:trPr>
          <w:cantSplit/>
          <w:tblHeader/>
        </w:trPr>
        <w:tc>
          <w:tcPr>
            <w:tcW w:type="dxa" w:w="3969"/>
            <w:shd w:fill="E7E6E6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/>
                <w:sz w:val="18"/>
              </w:rPr>
              <w:t>Vorgang und Abweichung</w:t>
            </w:r>
          </w:p>
        </w:tc>
        <w:tc>
          <w:tcPr>
            <w:tcW w:type="dxa" w:w="2835"/>
            <w:shd w:fill="E7E6E6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/>
                <w:sz w:val="18"/>
              </w:rPr>
              <w:t>Zuständig und Termin</w:t>
            </w:r>
          </w:p>
        </w:tc>
        <w:tc>
          <w:tcPr>
            <w:tcW w:type="dxa" w:w="2835"/>
            <w:shd w:fill="E7E6E6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/>
                <w:sz w:val="18"/>
              </w:rPr>
              <w:t>Klärung am und Ergebnis</w:t>
            </w:r>
          </w:p>
        </w:tc>
      </w:tr>
      <w:tr>
        <w:trPr>
          <w:cantSplit/>
        </w:trPr>
        <w:tc>
          <w:tcPr>
            <w:tcW w:type="dxa" w:w="3969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  <w:tc>
          <w:tcPr>
            <w:tcW w:type="dxa" w:w="2835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  <w:tc>
          <w:tcPr>
            <w:tcW w:type="dxa" w:w="2835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</w:trPr>
        <w:tc>
          <w:tcPr>
            <w:tcW w:type="dxa" w:w="3969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  <w:tc>
          <w:tcPr>
            <w:tcW w:type="dxa" w:w="2835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  <w:tc>
          <w:tcPr>
            <w:tcW w:type="dxa" w:w="2835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</w:tbl>
    <w:p>
      <w:pPr>
        <w:spacing w:after="0"/>
      </w:pPr>
    </w:p>
    <w:p>
      <w:r>
        <w:t>Eine rechnerische Übereinstimmung beweist keine vollständige Buchführung. Rhythmus nach Vorgängen und Risiko festlegen. Dieser Bogen ersetzt keine vorgeschriebenen Aufzeichnungen. Originaldateien und nachvollziehbare Korrekturen erhalten.</w:t>
      </w:r>
    </w:p>
    <w:p>
      <w:pPr>
        <w:spacing w:before="80"/>
      </w:pPr>
      <w:r>
        <w:rPr>
          <w:sz w:val="16"/>
        </w:rPr>
        <w:t xml:space="preserve">Stand: Oktober 2026. </w:t>
      </w:r>
      <w:hyperlink r:id="rId10">
        <w:r>
          <w:rPr>
            <w:sz w:val="16"/>
          </w:rPr>
          <w:t xml:space="preserve"/>
        </w:r>
      </w:hyperlink>
      <w:hyperlink r:id="rId11">
        <w:r>
          <w:rPr>
            <w:sz w:val="16"/>
          </w:rPr>
          <w:t xml:space="preserve"/>
        </w:r>
      </w:hyperlink>
      <w:hyperlink r:id="rId12">
        <w:r>
          <w:rPr>
            <w:sz w:val="16"/>
          </w:rPr>
          <w:t xml:space="preserve"/>
        </w:r>
      </w:hyperlink>
    </w:p>
    <w:sectPr w:rsidR="00FC693F" w:rsidRPr="0006063C" w:rsidSect="00034616">
      <w:footerReference w:type="default" r:id="rId9"/>
      <w:pgSz w:w="11906" w:h="16838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sz w:val="16"/>
      </w:rPr>
      <w:t>REI-030 | Arbeitsmittel Version 1.0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59" w:lineRule="auto"/>
    </w:pPr>
    <w:rPr>
      <w:rFonts w:ascii="Calibri" w:hAnsi="Calibri"/>
      <w:color w:val="000000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120" w:line="259" w:lineRule="auto"/>
      <w:outlineLvl w:val="0"/>
    </w:pPr>
    <w:rPr>
      <w:rFonts w:asciiTheme="majorHAnsi" w:eastAsiaTheme="majorEastAsia" w:hAnsiTheme="majorHAnsi" w:cstheme="majorBidi" w:ascii="Calibri" w:hAnsi="Calibri"/>
      <w:b/>
      <w:bCs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20" w:line="259" w:lineRule="auto"/>
      <w:outlineLvl w:val="1"/>
    </w:pPr>
    <w:rPr>
      <w:rFonts w:asciiTheme="majorHAnsi" w:eastAsiaTheme="majorEastAsia" w:hAnsiTheme="majorHAnsi" w:cstheme="majorBidi" w:ascii="Calibri" w:hAnsi="Calibri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20" w:line="259" w:lineRule="auto"/>
      <w:contextualSpacing/>
    </w:pPr>
    <w:rPr>
      <w:rFonts w:asciiTheme="majorHAnsi" w:eastAsiaTheme="majorEastAsia" w:hAnsiTheme="majorHAnsi" w:cstheme="majorBidi" w:ascii="Calibri" w:hAnsi="Calibri"/>
      <w:color w:val="000000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hyperlink" Target="https://www.gesetze-im-internet.de/bgb/__259.html" TargetMode="External"/><Relationship Id="rId11" Type="http://schemas.openxmlformats.org/officeDocument/2006/relationships/hyperlink" Target="https://www.gesetze-im-internet.de/ao_1977/__63.html" TargetMode="External"/><Relationship Id="rId12" Type="http://schemas.openxmlformats.org/officeDocument/2006/relationships/hyperlink" Target="https://frag-amu.de/buchhaltung-fuer-verein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